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7D4" w:rsidRPr="009177D4" w:rsidRDefault="009177D4" w:rsidP="009177D4">
      <w:pPr>
        <w:spacing w:after="150" w:line="240" w:lineRule="auto"/>
        <w:jc w:val="center"/>
        <w:outlineLvl w:val="1"/>
        <w:rPr>
          <w:rFonts w:ascii="Arial" w:eastAsia="Times New Roman" w:hAnsi="Arial" w:cs="Arial"/>
          <w:b/>
          <w:bCs/>
          <w:color w:val="A00000"/>
          <w:sz w:val="27"/>
          <w:szCs w:val="27"/>
          <w:lang w:eastAsia="ru-RU"/>
        </w:rPr>
      </w:pPr>
      <w:r w:rsidRPr="009177D4">
        <w:rPr>
          <w:rFonts w:ascii="Arial" w:eastAsia="Times New Roman" w:hAnsi="Arial" w:cs="Arial"/>
          <w:b/>
          <w:bCs/>
          <w:color w:val="A00000"/>
          <w:sz w:val="27"/>
          <w:szCs w:val="27"/>
          <w:lang w:eastAsia="ru-RU"/>
        </w:rPr>
        <w:t>КЛИНИЧЕСКИЕ РЕКОМЕНДАЦИИ (ПРОТОКОЛЫ ЛЕЧЕНИЯ)</w:t>
      </w:r>
    </w:p>
    <w:p w:rsidR="009177D4" w:rsidRPr="009177D4" w:rsidRDefault="009177D4" w:rsidP="009177D4">
      <w:pPr>
        <w:spacing w:after="150" w:line="240" w:lineRule="auto"/>
        <w:jc w:val="center"/>
        <w:outlineLvl w:val="0"/>
        <w:rPr>
          <w:rFonts w:ascii="Arial" w:eastAsia="Times New Roman" w:hAnsi="Arial" w:cs="Arial"/>
          <w:b/>
          <w:bCs/>
          <w:color w:val="C00000"/>
          <w:kern w:val="36"/>
          <w:sz w:val="32"/>
          <w:szCs w:val="32"/>
          <w:lang w:eastAsia="ru-RU"/>
        </w:rPr>
      </w:pPr>
      <w:r w:rsidRPr="009177D4">
        <w:rPr>
          <w:rFonts w:ascii="Arial" w:eastAsia="Times New Roman" w:hAnsi="Arial" w:cs="Arial"/>
          <w:b/>
          <w:bCs/>
          <w:color w:val="C00000"/>
          <w:kern w:val="36"/>
          <w:sz w:val="32"/>
          <w:szCs w:val="32"/>
          <w:lang w:eastAsia="ru-RU"/>
        </w:rPr>
        <w:t>ЭРИТРОПЛАКИЯ</w:t>
      </w:r>
    </w:p>
    <w:p w:rsidR="009177D4" w:rsidRPr="009177D4" w:rsidRDefault="009177D4" w:rsidP="009177D4">
      <w:pPr>
        <w:spacing w:after="150" w:line="240" w:lineRule="auto"/>
        <w:jc w:val="center"/>
        <w:outlineLvl w:val="2"/>
        <w:rPr>
          <w:rFonts w:ascii="Arial" w:eastAsia="Times New Roman" w:hAnsi="Arial" w:cs="Arial"/>
          <w:b/>
          <w:bCs/>
          <w:color w:val="904030"/>
          <w:sz w:val="23"/>
          <w:szCs w:val="23"/>
          <w:lang w:eastAsia="ru-RU"/>
        </w:rPr>
      </w:pPr>
      <w:r w:rsidRPr="009177D4">
        <w:rPr>
          <w:rFonts w:ascii="Arial" w:eastAsia="Times New Roman" w:hAnsi="Arial" w:cs="Arial"/>
          <w:b/>
          <w:bCs/>
          <w:color w:val="904030"/>
          <w:sz w:val="23"/>
          <w:szCs w:val="23"/>
          <w:lang w:eastAsia="ru-RU"/>
        </w:rPr>
        <w:t>Москва 2013</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Клинические рекомендации (протокол лечения) при заболевании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Кечерукова Д.Н.).</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I. ОБЛАСТЬ ПРИМЕНЕНИЯ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«Эритроплакия» предназначен для применения в системе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здравоохранения Российской Федерации.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II. НОРМАТИВНЫЕ ССЫЛКИ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III.ОБОЗНАЧЕНИЯ И СОКРАЩЕНИЯ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 настоящем протоколе использованы следующие обозначения и сокращения: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ВОЗ – Всемирная Организация Здравоохранения.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СОР – Слизистая оболочка рта.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ФДТ – Фотодинамическая терапия.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ОКТ - Оптическая когерентная томография.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IV. ОБЩИЕ ПОЛОЖЕНИЯ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«Эритроплакия» разработан для решения следующих задач:</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lastRenderedPageBreak/>
        <w:t>— установление единых требований к порядку диагностики и лечения больных с эритроплакией;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унификация разработки базовых программ обязательного медицинского страховании и оптимизация медицинской помощи больным с эритроплакией ;</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A)</w:t>
      </w:r>
      <w:r w:rsidRPr="009177D4">
        <w:rPr>
          <w:rFonts w:ascii="Arial" w:eastAsia="Times New Roman" w:hAnsi="Arial" w:cs="Arial"/>
          <w:color w:val="000000"/>
          <w:sz w:val="21"/>
          <w:szCs w:val="21"/>
          <w:lang w:eastAsia="ru-RU"/>
        </w:rPr>
        <w:t> Доказательства убедительны: есть веские доказательства предлагаемому утверждению.</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B)</w:t>
      </w:r>
      <w:r w:rsidRPr="009177D4">
        <w:rPr>
          <w:rFonts w:ascii="Arial" w:eastAsia="Times New Roman" w:hAnsi="Arial" w:cs="Arial"/>
          <w:color w:val="000000"/>
          <w:sz w:val="21"/>
          <w:szCs w:val="21"/>
          <w:lang w:eastAsia="ru-RU"/>
        </w:rPr>
        <w:t> Относительная убедительность доказательств: есть достаточно доказательств в пользу того, чтобы рекомендовать данное предложение.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C)</w:t>
      </w:r>
      <w:r w:rsidRPr="009177D4">
        <w:rPr>
          <w:rFonts w:ascii="Arial" w:eastAsia="Times New Roman" w:hAnsi="Arial" w:cs="Arial"/>
          <w:color w:val="000000"/>
          <w:sz w:val="21"/>
          <w:szCs w:val="21"/>
          <w:lang w:eastAsia="ru-RU"/>
        </w:rPr>
        <w:t>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D)</w:t>
      </w:r>
      <w:r w:rsidRPr="009177D4">
        <w:rPr>
          <w:rFonts w:ascii="Arial" w:eastAsia="Times New Roman" w:hAnsi="Arial" w:cs="Arial"/>
          <w:color w:val="000000"/>
          <w:sz w:val="21"/>
          <w:szCs w:val="21"/>
          <w:lang w:eastAsia="ru-RU"/>
        </w:rPr>
        <w:t> 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E)</w:t>
      </w:r>
      <w:r w:rsidRPr="009177D4">
        <w:rPr>
          <w:rFonts w:ascii="Arial" w:eastAsia="Times New Roman" w:hAnsi="Arial" w:cs="Arial"/>
          <w:color w:val="000000"/>
          <w:sz w:val="21"/>
          <w:szCs w:val="21"/>
          <w:lang w:eastAsia="ru-RU"/>
        </w:rPr>
        <w:t> 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V. ВЕДЕНИЕ ПРОТОКОЛА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VI. ОБЩИЕ ВОПРОСЫ</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эритроплакия встречается преимущественно у лиц мужского пола старше 50 лет. Очаги поражения обычно локализуются на нижнечелюстной переходной складке преддверия рта, по краям языка, на слизистой оболочке щёк и мягкого нёба. Появление эритроплакии связано с интенсивным курением, алкоголизмом и недостаточным уходом за ртом. Часто обнаруживают Candida albicans, поэтому обследование при эритроплакии должно включать бактериологический анализ материала изо рта, хотя доказательств прямой причинной связи между кандидозом и эритроплакией нет. При данной патологии цитологическое исследование выявляет клеточную атипию. При подозрении на эритроплакию следует выполнить биопсию, так как в 91% случаев отмечается выраженная дисплазию эпителия, рак in situ или инвазивный плоскоклеточный рак. При обследовании следует осмотреть всю слизистую рта, учитывая, что в 10—20% случаев наблюдают несколько очагов эритроплакии.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ОПРЕДЕЛЕНИЕ ПОНЯТИЯ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Эритроплакия – заболевание слизистой оболочки рта (СОР), проявляющееся в виде стойкого красного пятна, характеризующееся высокой степенью дисплазии эпителия и склонностью к злокачественной трансформации.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ЭТИОЛОГИЯ И ПАТОГЕНЕЗ</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xml:space="preserve">Причина развития эритроплакии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Candida albicans, а также другие факторы: механическая травма СОР, губ; острые стенки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эритроплакии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эритроплакии у лиц, имеющих профессиональную вредность (электрики, </w:t>
      </w:r>
      <w:r w:rsidRPr="009177D4">
        <w:rPr>
          <w:rFonts w:ascii="Arial" w:eastAsia="Times New Roman" w:hAnsi="Arial" w:cs="Arial"/>
          <w:color w:val="000000"/>
          <w:sz w:val="21"/>
          <w:szCs w:val="21"/>
          <w:lang w:eastAsia="ru-RU"/>
        </w:rPr>
        <w:lastRenderedPageBreak/>
        <w:t>шахтеры, нефтяники и др.). Важная роль в возникновении и развитии эритроплакии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эритроплакии.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КЛИНИЧЕСКАЯ КАРТИНА ЭРИТРОПЛАКИИ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 эритроплакии наблюдаются белесоватые поражения с ярко-красными бляшками, выступающими на ограниченных участках СОР, с неровными контурами. Гистологическое исследование выявляет гиперваскуляризацию субэпителиальной соединительной ткани без выраженного гиперкератоза. Различают три клинические формы эритроплакии: 1) гомогенную (полностью красная), 2) эритролейкоплакию, которая в основном имеет красный цвет с отдельными белыми очагами, и 3) пятнистую эритроплакию, характеризующуюся мелкими белыми пятнами, разбросанными по всей красной поверхности эритроплакии.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КЛАССИФИКАЦИЯ ЭРИТРОПЛАКИИ по МКБ-C:</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КЛАСС XI: БОЛЕЗНИ ОРГАНОВ ПИЩЕВАРЕНИЯ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K13.22 Эритроплакия.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ОБЩИЕ ПОДХОДЫ К ДИАГНОСТИКЕ ЭРИТРОПЛАКИИ.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Диагностика эритроплакии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отказ от лечения.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Для диагностики используют дополнительные методы исследования.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Морфологическое исследование может быть проведено двумя методами - цитологическим и гистологическим.</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макромолекулярном и субклеточном уровнях.</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ОБЩИЕ ПОДХОДЫ К ЛЕЧЕНИЮ ЭРИТРОПЛАКИИ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lastRenderedPageBreak/>
        <w:t>Принципы лечения больных с эритроплакией и красной каймы губ предусматривают одновременное решение нескольких задач:</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предупреждение травмирования красной каймы и СОР, вызванного дефектами в зубных рядах, острыми краями разрушенных зубов и зубными протезами, а также предохранение от действия неблагоприятных метеорологических факторов;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устранение или уменьшение очага эритроплакии;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повышение общей резистентности организма;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повышение качества жизни пациента;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обязательное диспансерное наблюдение за больными эритроплакией у врача-стоматолога 2-3 раза в год с оценкой состояния зубо - челюстной системы и зубных протезов при их наличии;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Лечение эритроплакии включает:</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составление плана лечения;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санация рта;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хирургическое лечение;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физиотерапевтическое лечение по потребности;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лекарственная терапия.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 лечении эритроплакии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ОРГАНИЗАЦИЯ МЕДИЦИНСКОЙ ПОМОЩИ ПАЦИЕНТАМ С ЭРИТРОПЛАКИЕЙ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Лечение пациентов с эритроплакией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Оказание помощи больным с эритроплакией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9177D4" w:rsidRPr="009177D4" w:rsidRDefault="009177D4" w:rsidP="009177D4">
      <w:pPr>
        <w:spacing w:after="0" w:line="240" w:lineRule="auto"/>
        <w:rPr>
          <w:rFonts w:ascii="Times New Roman" w:eastAsia="Times New Roman" w:hAnsi="Times New Roman" w:cs="Times New Roman"/>
          <w:sz w:val="24"/>
          <w:szCs w:val="24"/>
          <w:lang w:eastAsia="ru-RU"/>
        </w:rPr>
      </w:pPr>
      <w:r w:rsidRPr="009177D4">
        <w:rPr>
          <w:rFonts w:ascii="Arial" w:eastAsia="Times New Roman" w:hAnsi="Arial" w:cs="Arial"/>
          <w:color w:val="000000"/>
          <w:sz w:val="21"/>
          <w:szCs w:val="21"/>
          <w:lang w:eastAsia="ru-RU"/>
        </w:rPr>
        <w:br w:type="textWrapping" w:clear="all"/>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VII. ХАРАКТЕРИСТИКА ТРЕБОВАНИЙ ПРОТОКОЛА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7.1. Модель пациента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Нозологическая форма:</w:t>
      </w:r>
      <w:r w:rsidRPr="009177D4">
        <w:rPr>
          <w:rFonts w:ascii="Arial" w:eastAsia="Times New Roman" w:hAnsi="Arial" w:cs="Arial"/>
          <w:color w:val="000000"/>
          <w:sz w:val="21"/>
          <w:szCs w:val="21"/>
          <w:lang w:eastAsia="ru-RU"/>
        </w:rPr>
        <w:t> эритроплакия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Стадия:</w:t>
      </w:r>
      <w:r w:rsidRPr="009177D4">
        <w:rPr>
          <w:rFonts w:ascii="Arial" w:eastAsia="Times New Roman" w:hAnsi="Arial" w:cs="Arial"/>
          <w:color w:val="000000"/>
          <w:sz w:val="21"/>
          <w:szCs w:val="21"/>
          <w:lang w:eastAsia="ru-RU"/>
        </w:rPr>
        <w:t> любая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Фаза:</w:t>
      </w:r>
      <w:r w:rsidRPr="009177D4">
        <w:rPr>
          <w:rFonts w:ascii="Arial" w:eastAsia="Times New Roman" w:hAnsi="Arial" w:cs="Arial"/>
          <w:color w:val="000000"/>
          <w:sz w:val="21"/>
          <w:szCs w:val="21"/>
          <w:lang w:eastAsia="ru-RU"/>
        </w:rPr>
        <w:t> стабильное течение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Осложнение:</w:t>
      </w:r>
      <w:r w:rsidRPr="009177D4">
        <w:rPr>
          <w:rFonts w:ascii="Arial" w:eastAsia="Times New Roman" w:hAnsi="Arial" w:cs="Arial"/>
          <w:color w:val="000000"/>
          <w:sz w:val="21"/>
          <w:szCs w:val="21"/>
          <w:lang w:eastAsia="ru-RU"/>
        </w:rPr>
        <w:t> без осложнений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Код по МКБ-С:</w:t>
      </w:r>
      <w:r w:rsidRPr="009177D4">
        <w:rPr>
          <w:rFonts w:ascii="Arial" w:eastAsia="Times New Roman" w:hAnsi="Arial" w:cs="Arial"/>
          <w:color w:val="000000"/>
          <w:sz w:val="21"/>
          <w:szCs w:val="21"/>
          <w:lang w:eastAsia="ru-RU"/>
        </w:rPr>
        <w:t> K13.22</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7.11.1. Критерии и признаки, определяющие модель пациента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1.</w:t>
      </w:r>
      <w:r w:rsidRPr="009177D4">
        <w:rPr>
          <w:rFonts w:ascii="Arial" w:eastAsia="Times New Roman" w:hAnsi="Arial" w:cs="Arial"/>
          <w:color w:val="000000"/>
          <w:sz w:val="21"/>
          <w:szCs w:val="21"/>
          <w:lang w:eastAsia="ru-RU"/>
        </w:rPr>
        <w:t> Основной морфологический элемент гиперемированное пятно в сочетании с бляшкой.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lastRenderedPageBreak/>
        <w:t>2.</w:t>
      </w:r>
      <w:r w:rsidRPr="009177D4">
        <w:rPr>
          <w:rFonts w:ascii="Arial" w:eastAsia="Times New Roman" w:hAnsi="Arial" w:cs="Arial"/>
          <w:color w:val="000000"/>
          <w:sz w:val="21"/>
          <w:szCs w:val="21"/>
          <w:lang w:eastAsia="ru-RU"/>
        </w:rPr>
        <w:t> Клинически выявляются белесоватые поражения с ярко-красными бляшками, выступающими на ограниченных участках СОР, с неровными контурами. В некоторых случаях гиперемированные пятна имеют тенденцию к слиянию.</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3.</w:t>
      </w:r>
      <w:r w:rsidRPr="009177D4">
        <w:rPr>
          <w:rFonts w:ascii="Arial" w:eastAsia="Times New Roman" w:hAnsi="Arial" w:cs="Arial"/>
          <w:color w:val="000000"/>
          <w:sz w:val="21"/>
          <w:szCs w:val="21"/>
          <w:lang w:eastAsia="ru-RU"/>
        </w:rPr>
        <w:t> Наблюдаются плоские очаги, состоящие из красных неороговевающих участков (эритроплакии) и наличие возможных очагов лейкоплакии.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4.</w:t>
      </w:r>
      <w:r w:rsidRPr="009177D4">
        <w:rPr>
          <w:rFonts w:ascii="Arial" w:eastAsia="Times New Roman" w:hAnsi="Arial" w:cs="Arial"/>
          <w:color w:val="000000"/>
          <w:sz w:val="21"/>
          <w:szCs w:val="21"/>
          <w:lang w:eastAsia="ru-RU"/>
        </w:rPr>
        <w:t> Отмечаются мелкие пятна с нечеткими границами и красновато-розоватой окраской.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5.</w:t>
      </w:r>
      <w:r w:rsidRPr="009177D4">
        <w:rPr>
          <w:rFonts w:ascii="Arial" w:eastAsia="Times New Roman" w:hAnsi="Arial" w:cs="Arial"/>
          <w:color w:val="000000"/>
          <w:sz w:val="21"/>
          <w:szCs w:val="21"/>
          <w:lang w:eastAsia="ru-RU"/>
        </w:rPr>
        <w:t> Гистологически - гиперваскуляризация субэпителиальной ткани без выраженного гиперкератоза. Большая степень дисплазии эпителия.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6.</w:t>
      </w:r>
      <w:r w:rsidRPr="009177D4">
        <w:rPr>
          <w:rFonts w:ascii="Arial" w:eastAsia="Times New Roman" w:hAnsi="Arial" w:cs="Arial"/>
          <w:color w:val="000000"/>
          <w:sz w:val="21"/>
          <w:szCs w:val="21"/>
          <w:lang w:eastAsia="ru-RU"/>
        </w:rPr>
        <w:t> Высокий риск малигнизации.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7.1.2. Порядок включения пациента в протокол</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39"/>
        <w:gridCol w:w="1858"/>
      </w:tblGrid>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Кратность выполнения</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A08.07.001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Цитологическое исследование препарата тканей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lastRenderedPageBreak/>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bl>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i/>
          <w:iCs/>
          <w:color w:val="000000"/>
          <w:sz w:val="21"/>
          <w:szCs w:val="21"/>
          <w:lang w:eastAsia="ru-RU"/>
        </w:rPr>
        <w:t>Сбор анамнеза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Проводится осмотр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lastRenderedPageBreak/>
        <w:t>Проводят пальпацию, перкуссию, определение подвижности зубов, обследование тканей пародонта (приложение 5).</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Из дополнительных методов обследования используют цитологическое, иммуногистохимическое, гистологическое исследования (приложение 7).</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776"/>
        <w:gridCol w:w="1813"/>
      </w:tblGrid>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Согласно алгоритму</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bl>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lastRenderedPageBreak/>
        <w:t>7.1.6. Характеристика алгоритмов и особенностей выполнения немедикаментозной помощи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7.1.6.1. Физиотерапевтическое лечение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7.1.6.2. Хирургическое лечение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Методом хирургического лечения заболевания, получившими широкое применение в стоматологической практике при заболеваниях СОР является иссечение.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Наиболее современным методом хирургического лечения эритроплакии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495"/>
        <w:gridCol w:w="4170"/>
      </w:tblGrid>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Кратность (продолжительность лечения)</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Витаминотерапия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Обезболивающие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 потребности</w:t>
            </w:r>
          </w:p>
        </w:tc>
      </w:tr>
    </w:tbl>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w:t>
      </w:r>
      <w:r w:rsidRPr="009177D4">
        <w:rPr>
          <w:rFonts w:ascii="Arial" w:eastAsia="Times New Roman" w:hAnsi="Arial" w:cs="Arial"/>
          <w:color w:val="000000"/>
          <w:sz w:val="21"/>
          <w:szCs w:val="21"/>
          <w:lang w:eastAsia="ru-RU"/>
        </w:rPr>
        <w:lastRenderedPageBreak/>
        <w:t>время во рту), витамины группы В (рибофлавин и др.), внутрь по 0,25 г 2 раза в день (3—4 нед.); общеукрепляющие средства, биогенные стимуляторы.</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Местно назначают кератопластические средства, витамины, препараты, улучшающие трофику тканей.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 необходимости используют обезболивающие, гипосенсибилизирующие препараты, микроэлементы.</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7.1.9. Требования к режиму труда, отдыха, лечения и реабилитации </w:t>
      </w:r>
      <w:r w:rsidRPr="009177D4">
        <w:rPr>
          <w:rFonts w:ascii="Arial" w:eastAsia="Times New Roman" w:hAnsi="Arial" w:cs="Arial"/>
          <w:color w:val="000000"/>
          <w:sz w:val="21"/>
          <w:szCs w:val="21"/>
          <w:lang w:eastAsia="ru-RU"/>
        </w:rPr>
        <w:t>Специальных требований нет.</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После проведения лечения необходимо проводить мероприятия по профилактике воспалительных заболеваний СОР не реже 2 раз в год.</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Специальных требований нет.</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7.1.11. Требования к диетическим назначениям</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эритроплакией рекомендуется употреблять в пищу продукты, богатые витамином А, В, С, микроэлементами.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9177D4">
        <w:rPr>
          <w:rFonts w:ascii="Arial" w:eastAsia="Times New Roman" w:hAnsi="Arial" w:cs="Arial"/>
          <w:color w:val="000000"/>
          <w:sz w:val="21"/>
          <w:szCs w:val="21"/>
          <w:lang w:eastAsia="ru-RU"/>
        </w:rPr>
        <w:t>(приложение 10).</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7.1.13. Дополнительная информация для пациента и членов его семьи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(приложение 11).</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эритроплакии, медицинская помощь пациенту оказывается в соответствии с требованиями: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 раздела протокола лечения больных, соответствующего ведению «эритроплакия»;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0"/>
        <w:gridCol w:w="852"/>
        <w:gridCol w:w="2514"/>
        <w:gridCol w:w="1943"/>
        <w:gridCol w:w="2240"/>
      </w:tblGrid>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Часто-та разви-тия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Преемствен-ность и этапность оказания медицинской помощи</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Профилакти-ческий осмотр не реже 2 раз в год</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Динамическое наблюдение</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xml:space="preserve">Появление новых поражений или осложнений, обусловленных </w:t>
            </w:r>
            <w:r w:rsidRPr="009177D4">
              <w:rPr>
                <w:rFonts w:ascii="Arial" w:eastAsia="Times New Roman" w:hAnsi="Arial" w:cs="Arial"/>
                <w:color w:val="000000"/>
                <w:sz w:val="21"/>
                <w:szCs w:val="21"/>
                <w:lang w:eastAsia="ru-RU"/>
              </w:rPr>
              <w:lastRenderedPageBreak/>
              <w:t>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xml:space="preserve">Оказание медицинской помощи по протоколу </w:t>
            </w:r>
            <w:r w:rsidRPr="009177D4">
              <w:rPr>
                <w:rFonts w:ascii="Arial" w:eastAsia="Times New Roman" w:hAnsi="Arial" w:cs="Arial"/>
                <w:color w:val="000000"/>
                <w:sz w:val="21"/>
                <w:szCs w:val="21"/>
                <w:lang w:eastAsia="ru-RU"/>
              </w:rPr>
              <w:lastRenderedPageBreak/>
              <w:t>соответствующего заболевания</w:t>
            </w:r>
          </w:p>
        </w:tc>
      </w:tr>
      <w:tr w:rsidR="009177D4" w:rsidRPr="009177D4" w:rsidTr="009177D4">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Озлакачествление.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7.1.16. Стоимостные характеристики Протокола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Не требуется.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IX. МОНИТОРИРОВАНИЕ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Перечень медицинских учреждений, в которых проводится мониторирование данного документа, определяется ежегодно учреждением,</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Мониторирование включает в себя: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-сбор информации: о ведении пациентов с эритроплакией в лечебно-профилактических учреждениях всех уровней;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-анализ полученных данных;</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-составление отчета о результатах проведенного анализа;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-представление отчета группе разработчиков Протокола .</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Исходными данными при мониторировании являются: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тарифы на медицинские услуги;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эритроплакией, соответствующих моделям пациента в данном протоколе.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ПРИНЦИПЫ РАНДОМИЗАЦИИ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lastRenderedPageBreak/>
        <w:t>ПОРЯДОК ОЦЕНКИ И ДОКУМЕНТИРОВАНИЯ ПОБОЧНЫХ ЭФФЕКТОВ И РАЗВИТИЯ ОСЛОЖНЕНИЙ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ПОРЯДОК ИСКЛЮЧЕНИЯ ПАЦИЕНТА ИЗ МОНИТОРИРОВАНИЯ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ПРОМЕЖУТОЧНАЯ ОЦЕНКА И ВНЕСЕНИЕ ИЗМЕНЕНИЙ В ПРОТОКОЛ</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Оценка выполнения Протокола проводится один раз в год по результатам анализа сведений, полученных при мониторировании.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ПАРАМЕТРЫ ОЦЕНКИ КАЧЕСТВА ЖИЗНИ ПРИ ВЫПОЛНЕНИИ ПРОТОКОЛА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Для оценки качества жизни пациента с эритроплакией, соответствующей моделям протокола, используют аналоговую шкалу.</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ОЦЕНКА СТОИМОСТИ ВЫПОЛНЕНИЯ ПРОТОКОЛА И ЦЕНЫ КАЧЕСТВА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СРАВНЕНИЕ РЕЗУЛЬТАТОВ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ПОРЯДОК ФОРМИРОВАНИЯ ОТЧЕТА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Приложение 1</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i/>
          <w:iCs/>
          <w:color w:val="000000"/>
          <w:sz w:val="21"/>
          <w:szCs w:val="21"/>
          <w:lang w:eastAsia="ru-RU"/>
        </w:rPr>
        <w:t>Перечень стоматологических материалов, инструментов и оборудования, необходимых для работы врача: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Обязательный ассортимент:</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 Автоклав (стерилизатор паровой),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 Аквадистиллятор (медицинский),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3. Автоклав для наконечников (стерилизатор паровой настольный)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4. Аппарат воздушно-абразивный для снятия зубных отложений;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5. Аппарат для снятия зубных отложений ультразвуковой (скейлер);</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6. Аспиратор (отсасыватель) хирургический,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lastRenderedPageBreak/>
        <w:t>7. Биксы (коробка стерилизационная для хранения стерильных инструментов и материала)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8. Диатермокоагулятор;</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9. Инструменты стоматологические (мелкие):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боры,</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полиры,</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финиры;</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10. Инкубатор для проведения микробиологических тестов (CO</w:t>
      </w:r>
      <w:r w:rsidRPr="009177D4">
        <w:rPr>
          <w:rFonts w:ascii="Arial" w:eastAsia="Times New Roman" w:hAnsi="Arial" w:cs="Arial"/>
          <w:color w:val="000000"/>
          <w:sz w:val="21"/>
          <w:szCs w:val="21"/>
          <w:vertAlign w:val="subscript"/>
          <w:lang w:eastAsia="ru-RU"/>
        </w:rPr>
        <w:t>2</w:t>
      </w:r>
      <w:r w:rsidRPr="009177D4">
        <w:rPr>
          <w:rFonts w:ascii="Arial" w:eastAsia="Times New Roman" w:hAnsi="Arial" w:cs="Arial"/>
          <w:color w:val="000000"/>
          <w:sz w:val="21"/>
          <w:szCs w:val="21"/>
          <w:lang w:eastAsia="ru-RU"/>
        </w:rPr>
        <w:t> инкубатор для выращивания культур клеток и тканей)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11. Изделия одноразового применения: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шприцы и иглы для инъекций,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скальпели в ассортименте,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маски,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перчатки смотровые, диагностические, хирургические,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бумажные нагрудные салфетки для пациентов,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полотенца для рук в контейнере,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салфетки гигиенические,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медицинское белье для медицинского персонала,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перевязочные средства,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слюноотсосы,</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стаканы пластиковые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12. Инъектор стоматологический, для карпульной анестезии;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13. Камеры для хранения стерильных инструментов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14. Компрессор стоматологический (безмасляный);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15. Кресло стоматологическое;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16. Крючки хирургические, зубчатые разных размеров;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17. Лампа (облучатель) бактерицидная для помещений;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18. Машина упаковочная (аппарат для предстерилизационной упаковки инструментария);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19. Место рабочее (комплект оборудования) для врача-стоматолога: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21. Набор (инструменты, щетки, диски, пасты) для шлифования и полирования пломб и зубных протезов;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22. Набор инструментов для осмотра рта (базовый):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лоток медицинский стоматологический,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зеркало стоматологическое,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зонд стоматологический угловой,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пинцет зубоврачебный,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экскаваторы зубные,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гладилка широкая двухсторонняя,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гладилка-штопфер,</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lastRenderedPageBreak/>
        <w:t>- шпатель зубоврачебный;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23. Набор инструментов в ассортименте для снятия зубных отложений: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экскаваторы,</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крючки для снятия зубного камня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24. Набор инструментов для трахеотомии;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25. Набор инструментов, игл и шовного материала не менее 2 видов;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26. Набор медикаментов для индивидуальной профилактики парентеральных инфекций (аптечка "анти-СПИД")</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27. Набор реактивов для контроля (индикаторы) дезинфекции и стерилизации;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29. Наконечник стоматологический механический прямой;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30. Наконечник стоматологический механический угловой;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31. Наконечник стоматологический турбинный;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32 Ножницы в ассортименте не менее 3 на рабочее место врача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33. Отсасыватель пыли (стоматологический пылесос)</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34. Отсасыватель слюны (стоматологический слюноотсос)</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35. Очиститель ультразвуковой (устройство ультразвуковой очистки и дезинфекции инструментов и изделий);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36. Очки защитные;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37. Пинцеты;</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38. Прибор и средства для очистки и смазки наконечников;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39. Прибор (установка) для утилизации шприцев;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40. Скальпели (держатели) и одноразовые лезвия в ассортименте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41. Средства и емкости-контейнеры для дезинфекции инструментов в соответствии с СанПиН</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42. Стерилизатор стоматологический для мелкого инструментария;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43. Стерилизатор суховоздушный;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44. Щитки защитные (от механического повреждения глаз)</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45. Наборы диагностические для проведения тестов на выявление новообразований (скрининг) и контроля за лечением новообразований.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Приложение 2</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Алгоритм визуального осмотра СОР, рекомендуемый ВОЗ (1997 год).</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xml:space="preserve">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w:t>
      </w:r>
      <w:r w:rsidRPr="009177D4">
        <w:rPr>
          <w:rFonts w:ascii="Arial" w:eastAsia="Times New Roman" w:hAnsi="Arial" w:cs="Arial"/>
          <w:color w:val="000000"/>
          <w:sz w:val="21"/>
          <w:szCs w:val="21"/>
          <w:lang w:eastAsia="ru-RU"/>
        </w:rPr>
        <w:lastRenderedPageBreak/>
        <w:t>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Приложение 3</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Элементы поражения кожи и слизистой оболочки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Пятно (macula)</w:t>
      </w:r>
      <w:r w:rsidRPr="009177D4">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Узелок (nodus, papula) – </w:t>
      </w:r>
      <w:r w:rsidRPr="009177D4">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9177D4">
        <w:rPr>
          <w:rFonts w:ascii="Arial" w:eastAsia="Times New Roman" w:hAnsi="Arial" w:cs="Arial"/>
          <w:b/>
          <w:bCs/>
          <w:color w:val="000000"/>
          <w:sz w:val="21"/>
          <w:szCs w:val="21"/>
          <w:lang w:eastAsia="ru-RU"/>
        </w:rPr>
        <w:t> бляшки </w:t>
      </w:r>
      <w:r w:rsidRPr="009177D4">
        <w:rPr>
          <w:rFonts w:ascii="Arial" w:eastAsia="Times New Roman" w:hAnsi="Arial" w:cs="Arial"/>
          <w:color w:val="000000"/>
          <w:sz w:val="21"/>
          <w:szCs w:val="21"/>
          <w:lang w:eastAsia="ru-RU"/>
        </w:rPr>
        <w:t>(размер более 0,5 мм).</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Узел (nodus)</w:t>
      </w:r>
      <w:r w:rsidRPr="009177D4">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Бугорок (tuberculum)</w:t>
      </w:r>
      <w:r w:rsidRPr="009177D4">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Язва (ulcus) </w:t>
      </w:r>
      <w:r w:rsidRPr="009177D4">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Трещина (rhagades) </w:t>
      </w:r>
      <w:r w:rsidRPr="009177D4">
        <w:rPr>
          <w:rFonts w:ascii="Arial" w:eastAsia="Times New Roman" w:hAnsi="Arial" w:cs="Arial"/>
          <w:color w:val="000000"/>
          <w:sz w:val="21"/>
          <w:szCs w:val="21"/>
          <w:lang w:eastAsia="ru-RU"/>
        </w:rPr>
        <w:t xml:space="preserve">– линейный дефект, возникающий при потере тканями эластичности на фоне острого или хронического воспалительного процесса. Различают трещины </w:t>
      </w:r>
      <w:r w:rsidRPr="009177D4">
        <w:rPr>
          <w:rFonts w:ascii="Arial" w:eastAsia="Times New Roman" w:hAnsi="Arial" w:cs="Arial"/>
          <w:color w:val="000000"/>
          <w:sz w:val="21"/>
          <w:szCs w:val="21"/>
          <w:lang w:eastAsia="ru-RU"/>
        </w:rPr>
        <w:lastRenderedPageBreak/>
        <w:t>поверхностные (повреждение только эпителиального слоя) и глубокие (повреждены все слои слизистой и подлежащие ткани).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Чешуйка (squama) </w:t>
      </w:r>
      <w:r w:rsidRPr="009177D4">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Корка (crusta)</w:t>
      </w:r>
      <w:r w:rsidRPr="009177D4">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Эрозия (erozia) </w:t>
      </w:r>
      <w:r w:rsidRPr="009177D4">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Нарушение процессов ороговения при предраковых поражениях.</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Кератозы</w:t>
      </w:r>
      <w:r w:rsidRPr="009177D4">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Дискератоз </w:t>
      </w:r>
      <w:r w:rsidRPr="009177D4">
        <w:rPr>
          <w:rFonts w:ascii="Arial" w:eastAsia="Times New Roman" w:hAnsi="Arial" w:cs="Arial"/>
          <w:color w:val="000000"/>
          <w:sz w:val="21"/>
          <w:szCs w:val="21"/>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Гиперкератоз </w:t>
      </w:r>
      <w:r w:rsidRPr="009177D4">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Паракератоз </w:t>
      </w:r>
      <w:r w:rsidRPr="009177D4">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Акантоз </w:t>
      </w:r>
      <w:r w:rsidRPr="009177D4">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Приложение 4</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noProof/>
          <w:color w:val="000000"/>
          <w:sz w:val="21"/>
          <w:szCs w:val="21"/>
          <w:lang w:eastAsia="ru-RU"/>
        </w:rPr>
        <w:lastRenderedPageBreak/>
        <w:drawing>
          <wp:inline distT="0" distB="0" distL="0" distR="0" wp14:anchorId="3CCF05CB" wp14:editId="6FF829AB">
            <wp:extent cx="5991225" cy="3200400"/>
            <wp:effectExtent l="0" t="0" r="9525" b="0"/>
            <wp:docPr id="1" name="Рисунок 1" descr="https://e-stomatology.ru/director/protokols/protokol_eritr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tomatology.ru/director/protokols/protokol_eritroplakiya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Приложение 5</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Дополнение к карте для определения пародонтологического статуса пациента</w:t>
      </w:r>
    </w:p>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noProof/>
          <w:color w:val="000000"/>
          <w:sz w:val="21"/>
          <w:szCs w:val="21"/>
          <w:lang w:eastAsia="ru-RU"/>
        </w:rPr>
        <w:drawing>
          <wp:inline distT="0" distB="0" distL="0" distR="0" wp14:anchorId="6D1E02AF" wp14:editId="12C0A3AA">
            <wp:extent cx="5943600" cy="4229100"/>
            <wp:effectExtent l="0" t="0" r="0" b="0"/>
            <wp:docPr id="2" name="Рисунок 2" descr="https://e-stomatology.ru/director/protokols/protokol_eritr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tomatology.ru/director/protokols/protokol_eritroplakiya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Приложение 6</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i/>
          <w:iCs/>
          <w:color w:val="000000"/>
          <w:sz w:val="21"/>
          <w:szCs w:val="21"/>
          <w:lang w:eastAsia="ru-RU"/>
        </w:rPr>
        <w:t>Алгоритмы определения индексов.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Индекс гигиены Грин – Вермиллиона</w:t>
      </w:r>
      <w:r w:rsidRPr="009177D4">
        <w:rPr>
          <w:rFonts w:ascii="Arial" w:eastAsia="Times New Roman" w:hAnsi="Arial" w:cs="Arial"/>
          <w:color w:val="000000"/>
          <w:sz w:val="21"/>
          <w:szCs w:val="21"/>
          <w:lang w:eastAsia="ru-RU"/>
        </w:rPr>
        <w:t>.</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lastRenderedPageBreak/>
        <w:t>первая компонента-это индекс зубного налета </w:t>
      </w:r>
      <w:r w:rsidRPr="009177D4">
        <w:rPr>
          <w:rFonts w:ascii="Arial" w:eastAsia="Times New Roman" w:hAnsi="Arial" w:cs="Arial"/>
          <w:b/>
          <w:bCs/>
          <w:color w:val="000000"/>
          <w:sz w:val="21"/>
          <w:szCs w:val="21"/>
          <w:lang w:eastAsia="ru-RU"/>
        </w:rPr>
        <w:t>(DI-S)</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вторая компонента-это индекс зубного камня </w:t>
      </w:r>
      <w:r w:rsidRPr="009177D4">
        <w:rPr>
          <w:rFonts w:ascii="Arial" w:eastAsia="Times New Roman" w:hAnsi="Arial" w:cs="Arial"/>
          <w:b/>
          <w:bCs/>
          <w:color w:val="000000"/>
          <w:sz w:val="21"/>
          <w:szCs w:val="21"/>
          <w:lang w:eastAsia="ru-RU"/>
        </w:rPr>
        <w:t>(CI-S)</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Метод</w:t>
      </w:r>
      <w:r w:rsidRPr="009177D4">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Критерии оценки DI-S:</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0-нет налета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1-налет покрывает не более 1\3 поверхности зуба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2-налет покрывает от 1\3 до 2\3 поверхности зуба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3-налет покрывает более 2\3 поверхности зуба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Формула: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DI-S=сумма баллов/6</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Критерии оценки CI-S</w:t>
      </w:r>
      <w:r w:rsidRPr="009177D4">
        <w:rPr>
          <w:rFonts w:ascii="Arial" w:eastAsia="Times New Roman" w:hAnsi="Arial" w:cs="Arial"/>
          <w:color w:val="000000"/>
          <w:sz w:val="21"/>
          <w:szCs w:val="21"/>
          <w:lang w:eastAsia="ru-RU"/>
        </w:rPr>
        <w:t>:</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0-нет камня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1-наддесневой камень покрывает менее 1\3 поверхности зуба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2-наддесневой камень покрывает от 1\3 до 2\3 поверхности зуба или имеются отдельные частицы поддесневого камня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3-наддесневой камень покрывает более 2\3 поверхности зуба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Формула: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СI-S=сумма баллов/6</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OHI-S=DI-S+CI-S</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Критерии</w:t>
      </w:r>
      <w:r w:rsidRPr="009177D4">
        <w:rPr>
          <w:rFonts w:ascii="Arial" w:eastAsia="Times New Roman" w:hAnsi="Arial" w:cs="Arial"/>
          <w:color w:val="000000"/>
          <w:sz w:val="21"/>
          <w:szCs w:val="21"/>
          <w:lang w:eastAsia="ru-RU"/>
        </w:rPr>
        <w:t> </w:t>
      </w:r>
      <w:r w:rsidRPr="009177D4">
        <w:rPr>
          <w:rFonts w:ascii="Arial" w:eastAsia="Times New Roman" w:hAnsi="Arial" w:cs="Arial"/>
          <w:b/>
          <w:bCs/>
          <w:color w:val="000000"/>
          <w:sz w:val="21"/>
          <w:szCs w:val="21"/>
          <w:lang w:eastAsia="ru-RU"/>
        </w:rPr>
        <w:t>оценки: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0,0-0,6 низкий (гигиена хорошая)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0,7-1,6 средний (гигиена удовлетворительная)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1,7-2,5 высокий (гигиена неудовлетворительная)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2,6-6,0 очень высокий(гигиена плохая)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Индекс гигиены Силнесс-Лое.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Определяют толщину зубного налета в придесневой области зуба.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Метод:</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6"/>
        <w:gridCol w:w="296"/>
        <w:gridCol w:w="354"/>
        <w:gridCol w:w="296"/>
        <w:gridCol w:w="354"/>
        <w:gridCol w:w="296"/>
        <w:gridCol w:w="296"/>
        <w:gridCol w:w="354"/>
        <w:gridCol w:w="354"/>
        <w:gridCol w:w="296"/>
        <w:gridCol w:w="296"/>
        <w:gridCol w:w="354"/>
        <w:gridCol w:w="296"/>
        <w:gridCol w:w="354"/>
        <w:gridCol w:w="296"/>
        <w:gridCol w:w="296"/>
      </w:tblGrid>
      <w:tr w:rsidR="009177D4" w:rsidRPr="009177D4" w:rsidTr="009177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r>
      <w:tr w:rsidR="009177D4" w:rsidRPr="009177D4" w:rsidTr="009177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r>
      <w:tr w:rsidR="009177D4" w:rsidRPr="009177D4" w:rsidTr="009177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r>
      <w:tr w:rsidR="009177D4" w:rsidRPr="009177D4" w:rsidTr="009177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77D4" w:rsidRPr="009177D4" w:rsidRDefault="009177D4" w:rsidP="009177D4">
            <w:pPr>
              <w:spacing w:after="0" w:line="240" w:lineRule="auto"/>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tc>
      </w:tr>
    </w:tbl>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3. В области каждого зуба осматривают 4 участка: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-дистально- вестибулярный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-вестибулярный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-медиально- вестибулярный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-язычный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lastRenderedPageBreak/>
        <w:t>Коды и критерии: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0 </w:t>
      </w:r>
      <w:r w:rsidRPr="009177D4">
        <w:rPr>
          <w:rFonts w:ascii="Arial" w:eastAsia="Times New Roman" w:hAnsi="Arial" w:cs="Arial"/>
          <w:color w:val="000000"/>
          <w:sz w:val="21"/>
          <w:szCs w:val="21"/>
          <w:lang w:eastAsia="ru-RU"/>
        </w:rPr>
        <w:t>- нет налета.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1 </w:t>
      </w:r>
      <w:r w:rsidRPr="009177D4">
        <w:rPr>
          <w:rFonts w:ascii="Arial" w:eastAsia="Times New Roman" w:hAnsi="Arial" w:cs="Arial"/>
          <w:color w:val="000000"/>
          <w:sz w:val="21"/>
          <w:szCs w:val="21"/>
          <w:lang w:eastAsia="ru-RU"/>
        </w:rPr>
        <w:t>- небольшое количество налета, выявляется только зондом</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2 </w:t>
      </w:r>
      <w:r w:rsidRPr="009177D4">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3 </w:t>
      </w:r>
      <w:r w:rsidRPr="009177D4">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4 </w:t>
      </w:r>
      <w:r w:rsidRPr="009177D4">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ФОРМУЛА=(сумма баллов)/(число обследованных поверхностей «4»)- значение для одного зуба.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Формула=(сумма балла всех зубов)/(на количество исследованных зубов) Значение для всех зубов.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Индекс кровоточивости Мюлеманна (в модификации Коуэла).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Оценочная шкала следующая: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0- если после этого кровоточивость отсутствует;</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1-если кровоточивость появляется не раньше, чем через 30с;</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Значение индекса = сумма показателей всех зубов /число зубов.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Приложение 7</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i/>
          <w:iCs/>
          <w:color w:val="000000"/>
          <w:sz w:val="21"/>
          <w:szCs w:val="21"/>
          <w:lang w:eastAsia="ru-RU"/>
        </w:rPr>
        <w:t>Специальные методы исследования СОР и красной каймы губ.</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xml:space="preserve">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w:t>
      </w:r>
      <w:r w:rsidRPr="009177D4">
        <w:rPr>
          <w:rFonts w:ascii="Arial" w:eastAsia="Times New Roman" w:hAnsi="Arial" w:cs="Arial"/>
          <w:color w:val="000000"/>
          <w:sz w:val="21"/>
          <w:szCs w:val="21"/>
          <w:lang w:eastAsia="ru-RU"/>
        </w:rPr>
        <w:lastRenderedPageBreak/>
        <w:t>гемангиом, веррукозной лейкоплакии). Наряду с теневым рисунком очага выявлялись прилежащие сосуды.</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Морфологическое исследование осуществляется цитологическим и гистологическим методами.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иммунофенотип опухоли, исследовать ее биологические свойства, определить молекулярно-биологические факторы прогноза.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Приложение 8</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Методика взятия биопсийного материала с участка слизистой</w:t>
      </w:r>
      <w:r w:rsidRPr="009177D4">
        <w:rPr>
          <w:rFonts w:ascii="Arial" w:eastAsia="Times New Roman" w:hAnsi="Arial" w:cs="Arial"/>
          <w:color w:val="000000"/>
          <w:sz w:val="21"/>
          <w:szCs w:val="21"/>
          <w:lang w:eastAsia="ru-RU"/>
        </w:rPr>
        <w:t> </w:t>
      </w:r>
      <w:r w:rsidRPr="009177D4">
        <w:rPr>
          <w:rFonts w:ascii="Arial" w:eastAsia="Times New Roman" w:hAnsi="Arial" w:cs="Arial"/>
          <w:b/>
          <w:bCs/>
          <w:color w:val="000000"/>
          <w:sz w:val="21"/>
          <w:szCs w:val="21"/>
          <w:lang w:eastAsia="ru-RU"/>
        </w:rPr>
        <w:t>оболочки рта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Биопсия</w:t>
      </w:r>
      <w:r w:rsidRPr="009177D4">
        <w:rPr>
          <w:rFonts w:ascii="Arial" w:eastAsia="Times New Roman" w:hAnsi="Arial" w:cs="Arial"/>
          <w:color w:val="000000"/>
          <w:sz w:val="21"/>
          <w:szCs w:val="21"/>
          <w:lang w:eastAsia="ru-RU"/>
        </w:rPr>
        <w:t> — метод получения ткани живого организма для морфологического исследования с диагностической целью.</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Существует несколько способов диагностических биопсий, используемых в стоматологии: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r w:rsidRPr="009177D4">
        <w:rPr>
          <w:rFonts w:ascii="Arial" w:eastAsia="Times New Roman" w:hAnsi="Arial" w:cs="Arial"/>
          <w:b/>
          <w:bCs/>
          <w:color w:val="000000"/>
          <w:sz w:val="21"/>
          <w:szCs w:val="21"/>
          <w:lang w:eastAsia="ru-RU"/>
        </w:rPr>
        <w:t>при инцизионной биопсии</w:t>
      </w:r>
      <w:r w:rsidRPr="009177D4">
        <w:rPr>
          <w:rFonts w:ascii="Arial" w:eastAsia="Times New Roman" w:hAnsi="Arial" w:cs="Arial"/>
          <w:color w:val="000000"/>
          <w:sz w:val="21"/>
          <w:szCs w:val="21"/>
          <w:lang w:eastAsia="ru-RU"/>
        </w:rPr>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r w:rsidRPr="009177D4">
        <w:rPr>
          <w:rFonts w:ascii="Arial" w:eastAsia="Times New Roman" w:hAnsi="Arial" w:cs="Arial"/>
          <w:b/>
          <w:bCs/>
          <w:color w:val="000000"/>
          <w:sz w:val="21"/>
          <w:szCs w:val="21"/>
          <w:lang w:eastAsia="ru-RU"/>
        </w:rPr>
        <w:t>эксцизионная биопсия</w:t>
      </w:r>
      <w:r w:rsidRPr="009177D4">
        <w:rPr>
          <w:rFonts w:ascii="Arial" w:eastAsia="Times New Roman" w:hAnsi="Arial" w:cs="Arial"/>
          <w:color w:val="000000"/>
          <w:sz w:val="21"/>
          <w:szCs w:val="21"/>
          <w:lang w:eastAsia="ru-RU"/>
        </w:rPr>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r w:rsidRPr="009177D4">
        <w:rPr>
          <w:rFonts w:ascii="Arial" w:eastAsia="Times New Roman" w:hAnsi="Arial" w:cs="Arial"/>
          <w:b/>
          <w:bCs/>
          <w:color w:val="000000"/>
          <w:sz w:val="21"/>
          <w:szCs w:val="21"/>
          <w:lang w:eastAsia="ru-RU"/>
        </w:rPr>
        <w:t>трепанобиопсия</w:t>
      </w:r>
      <w:r w:rsidRPr="009177D4">
        <w:rPr>
          <w:rFonts w:ascii="Arial" w:eastAsia="Times New Roman" w:hAnsi="Arial" w:cs="Arial"/>
          <w:color w:val="000000"/>
          <w:sz w:val="21"/>
          <w:szCs w:val="21"/>
          <w:lang w:eastAsia="ru-RU"/>
        </w:rPr>
        <w:t> предполагает забор патологического материала из кости с помощью трепана;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r w:rsidRPr="009177D4">
        <w:rPr>
          <w:rFonts w:ascii="Arial" w:eastAsia="Times New Roman" w:hAnsi="Arial" w:cs="Arial"/>
          <w:b/>
          <w:bCs/>
          <w:color w:val="000000"/>
          <w:sz w:val="21"/>
          <w:szCs w:val="21"/>
          <w:lang w:eastAsia="ru-RU"/>
        </w:rPr>
        <w:t>пункционная биопсия</w:t>
      </w:r>
      <w:r w:rsidRPr="009177D4">
        <w:rPr>
          <w:rFonts w:ascii="Arial" w:eastAsia="Times New Roman" w:hAnsi="Arial" w:cs="Arial"/>
          <w:color w:val="000000"/>
          <w:sz w:val="21"/>
          <w:szCs w:val="21"/>
          <w:lang w:eastAsia="ru-RU"/>
        </w:rPr>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xml:space="preserve">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w:t>
      </w:r>
      <w:r w:rsidRPr="009177D4">
        <w:rPr>
          <w:rFonts w:ascii="Arial" w:eastAsia="Times New Roman" w:hAnsi="Arial" w:cs="Arial"/>
          <w:color w:val="000000"/>
          <w:sz w:val="21"/>
          <w:szCs w:val="21"/>
          <w:lang w:eastAsia="ru-RU"/>
        </w:rPr>
        <w:lastRenderedPageBreak/>
        <w:t>даты ее выполнения и направляется в морфологическую лабораторию, где производится его дальнейшая обработка.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Приложение 9</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i/>
          <w:iCs/>
          <w:color w:val="000000"/>
          <w:sz w:val="21"/>
          <w:szCs w:val="21"/>
          <w:lang w:eastAsia="ru-RU"/>
        </w:rPr>
        <w:t>Контролируемая чистка зубов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i/>
          <w:iCs/>
          <w:color w:val="000000"/>
          <w:sz w:val="21"/>
          <w:szCs w:val="21"/>
          <w:lang w:eastAsia="ru-RU"/>
        </w:rPr>
        <w:t>Алгоритм обучения гигиене рта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xml:space="preserve">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w:t>
      </w:r>
      <w:r w:rsidRPr="009177D4">
        <w:rPr>
          <w:rFonts w:ascii="Arial" w:eastAsia="Times New Roman" w:hAnsi="Arial" w:cs="Arial"/>
          <w:color w:val="000000"/>
          <w:sz w:val="21"/>
          <w:szCs w:val="21"/>
          <w:lang w:eastAsia="ru-RU"/>
        </w:rPr>
        <w:lastRenderedPageBreak/>
        <w:t>использование ополаскивателей, не содержащих спирт, ирригаторов для очищения труднодоступных участков слизистой полости рта.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Алгоритм контролируемой чистки зубов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Первое посещение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Чистка зубов пациентом в его обычной манере.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Следующее посещение</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Алгоритм профессиональной гигиены рта и зубов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Этапы профессиональной гигиены:</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обучение пациента индивидуальной гигиене рта;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контролируемая чистка зубов;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удаление зубных отложений;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полирование поверхностей зубов;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устранение факторов, способствующих скоплению зубного налета;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аппликации реминерализирующих и фторидсодержащих средств;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мотивация пациента к профилактике и лечению стоматологических заболеваний.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провести обработку рта раствором антисептика;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lastRenderedPageBreak/>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Приложение 10</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Форма добровольного информированного согласия пациента при выполнении протокола приложение к медицинской карте №_____</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ФИО пациента (законный представитель пациента)_____________</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ФИО врача _____________</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«___»________________20___г.</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Приложение 10</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Дополнительная информация для пациента: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3. Профессиональная гигиена должна проводиться не реже 1 раза в 6 месяцев у лечащего врача-стоматолога.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5. </w:t>
      </w:r>
      <w:r w:rsidRPr="009177D4">
        <w:rPr>
          <w:rFonts w:ascii="Arial" w:eastAsia="Times New Roman" w:hAnsi="Arial" w:cs="Arial"/>
          <w:color w:val="000000"/>
          <w:sz w:val="21"/>
          <w:szCs w:val="21"/>
          <w:lang w:eastAsia="ru-RU"/>
        </w:rPr>
        <w:t>Обязательно посещать плановые осмотры.</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7. Устранение или нейтрализация действия профессиональных вредных факторов на пародонт.</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Приложение 11</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Анкета пациента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lastRenderedPageBreak/>
        <w:t>ФИО__________________________________________ Дата заполнения</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Как Вы оцениваете Ваше общее самочувствие на сегодняшний день?</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9177D4" w:rsidRPr="009177D4" w:rsidRDefault="009177D4" w:rsidP="009177D4">
      <w:pPr>
        <w:spacing w:after="0" w:line="240" w:lineRule="auto"/>
        <w:jc w:val="center"/>
        <w:rPr>
          <w:rFonts w:ascii="Arial" w:eastAsia="Times New Roman" w:hAnsi="Arial" w:cs="Arial"/>
          <w:color w:val="000000"/>
          <w:sz w:val="21"/>
          <w:szCs w:val="21"/>
          <w:lang w:eastAsia="ru-RU"/>
        </w:rPr>
      </w:pPr>
      <w:r w:rsidRPr="009177D4">
        <w:rPr>
          <w:rFonts w:ascii="Arial" w:eastAsia="Times New Roman" w:hAnsi="Arial" w:cs="Arial"/>
          <w:noProof/>
          <w:color w:val="000000"/>
          <w:sz w:val="21"/>
          <w:szCs w:val="21"/>
          <w:lang w:eastAsia="ru-RU"/>
        </w:rPr>
        <w:drawing>
          <wp:inline distT="0" distB="0" distL="0" distR="0" wp14:anchorId="3359EE88" wp14:editId="53824A22">
            <wp:extent cx="4105275" cy="4429125"/>
            <wp:effectExtent l="0" t="0" r="9525" b="9525"/>
            <wp:docPr id="3" name="Рисунок 3" descr="https://e-stomatology.ru/director/protokols/protokol_eritr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tomatology.ru/director/protokols/protokol_eritroplakiya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b/>
          <w:bCs/>
          <w:color w:val="000000"/>
          <w:sz w:val="21"/>
          <w:szCs w:val="21"/>
          <w:lang w:eastAsia="ru-RU"/>
        </w:rPr>
        <w:t>Список литературы:</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 Бернадский Ю.И. Основы челюстно-лицевой хирургии и хирургической стоматологии. – 3-е изд., перераб. и доп. – М.Медицинская литература, 2007. – 417 с.: ил.</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3. Банченко Г.В., Рыбаков А.И. Заболевания слизистой оболочки полости рта /Монография. М., «Медицина», 1978, 232 с., ил.</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5. Боровский Е.В. Терапевтическая стоматология /Учебник, МИА –М.2007. – 840 с.: ил.</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lastRenderedPageBreak/>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10. Ласкарис Д. Лечение заболеваний слизистой оболочки рта: Руководство для врачей. – М.: ООО «Медицинское информационное агентство», 2006. – 304 с.: ил.</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12. Машкиллейсон А.Л. Совершенствование лечения лейкоплакий слизистой оболочки рта / Методические рекомендации 1985, М. С. -3-6.</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13. Морозова С.И., Савельева Н.А. Заболевания слизистой оболочки рта. /Атлас. Москва-МИА 2012, - 272с.: ил.</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14. Островский А.Д. Диссертация «Возможности оптической когерентной томографии в диагностики процесса пара- и гиперкератоза СОПР», 2008г.</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15. Поддубная И.В. Онкология. Справочник практикующего врача. – М.: МЕДпресс-информ, 2009. – 768с. ; ил.</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16. Поражения слизистой оболочки ротовой полости белого цвета</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 лейкоплакия, плоский лишай) : учеб.-метод. пособие / Л.Н. Дедова [ и др.]. – Минск: БГМУ, 2010. – 43с.</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18. Рабинович О.Ф., Рабинович И.М., Разживина Н.В., Банченко Г.В. – М., 2008. -14 с.</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 ; пер. с англ. – М. : МЕДпресс-информ, 2010. – 472 с. : ил.</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9177D4" w:rsidRPr="009177D4" w:rsidRDefault="009177D4" w:rsidP="009177D4">
      <w:pPr>
        <w:spacing w:after="120" w:line="240" w:lineRule="atLeast"/>
        <w:rPr>
          <w:rFonts w:ascii="Arial" w:eastAsia="Times New Roman" w:hAnsi="Arial" w:cs="Arial"/>
          <w:color w:val="000000"/>
          <w:sz w:val="21"/>
          <w:szCs w:val="21"/>
          <w:lang w:eastAsia="ru-RU"/>
        </w:rPr>
      </w:pPr>
      <w:r w:rsidRPr="009177D4">
        <w:rPr>
          <w:rFonts w:ascii="Arial" w:eastAsia="Times New Roman" w:hAnsi="Arial" w:cs="Arial"/>
          <w:color w:val="000000"/>
          <w:sz w:val="21"/>
          <w:szCs w:val="21"/>
          <w:lang w:eastAsia="ru-RU"/>
        </w:rPr>
        <w:t>25. Banoczy J. Oral leukoplakia. Akademiai Kiado, Budapest, 1982, 231 p.</w:t>
      </w:r>
    </w:p>
    <w:p w:rsidR="003A0268" w:rsidRDefault="003A0268">
      <w:bookmarkStart w:id="0" w:name="_GoBack"/>
      <w:bookmarkEnd w:id="0"/>
    </w:p>
    <w:sectPr w:rsidR="003A0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38"/>
    <w:rsid w:val="003A0268"/>
    <w:rsid w:val="004E5D38"/>
    <w:rsid w:val="0091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C56E4-08A4-4DD8-8911-47367634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77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77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177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77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77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77D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177D4"/>
  </w:style>
  <w:style w:type="paragraph" w:customStyle="1" w:styleId="msonormal0">
    <w:name w:val="msonormal"/>
    <w:basedOn w:val="a"/>
    <w:rsid w:val="00917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7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77D4"/>
    <w:rPr>
      <w:b/>
      <w:bCs/>
    </w:rPr>
  </w:style>
  <w:style w:type="character" w:styleId="a5">
    <w:name w:val="Emphasis"/>
    <w:basedOn w:val="a0"/>
    <w:uiPriority w:val="20"/>
    <w:qFormat/>
    <w:rsid w:val="009177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9334</Words>
  <Characters>53209</Characters>
  <Application>Microsoft Office Word</Application>
  <DocSecurity>0</DocSecurity>
  <Lines>443</Lines>
  <Paragraphs>124</Paragraphs>
  <ScaleCrop>false</ScaleCrop>
  <Company/>
  <LinksUpToDate>false</LinksUpToDate>
  <CharactersWithSpaces>62419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2024-01-25T09:28:00Z</dcterms:created>
  <dcterms:modified xsi:type="dcterms:W3CDTF">2024-01-25T09:28:00Z</dcterms:modified>
</cp:coreProperties>
</file>